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05248" w14:textId="6BCC0995" w:rsidR="000A24A7" w:rsidRPr="006324EA" w:rsidRDefault="00000000" w:rsidP="006324EA">
      <w:pPr>
        <w:spacing w:line="48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6324EA">
        <w:rPr>
          <w:rFonts w:ascii="Times New Roman" w:hAnsi="Times New Roman" w:cs="Times New Roman"/>
          <w:sz w:val="40"/>
          <w:szCs w:val="40"/>
        </w:rPr>
        <w:t>Project Documentation – ML Pipeline and Model Development</w:t>
      </w:r>
    </w:p>
    <w:p w14:paraId="4F015EA2" w14:textId="77777777" w:rsidR="000A24A7" w:rsidRPr="006324EA" w:rsidRDefault="00000000" w:rsidP="006324EA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6324EA">
        <w:rPr>
          <w:rFonts w:ascii="Times New Roman" w:hAnsi="Times New Roman" w:cs="Times New Roman"/>
          <w:b/>
          <w:bCs/>
          <w:u w:val="single"/>
        </w:rPr>
        <w:t>Document Purpose</w:t>
      </w:r>
    </w:p>
    <w:p w14:paraId="02985BD3" w14:textId="77777777" w:rsidR="000A24A7" w:rsidRPr="006324EA" w:rsidRDefault="00000000" w:rsidP="006324EA">
      <w:p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This document explains how the FIU Capstone loan-application automation ingests applicant packets, extracts KPIs, validates the resulting dataset, and scores default risk using XGBoost, Linear Regression, and Random Forest classifiers.</w:t>
      </w:r>
    </w:p>
    <w:p w14:paraId="2A076181" w14:textId="77777777" w:rsidR="000A24A7" w:rsidRPr="006324EA" w:rsidRDefault="00000000" w:rsidP="006324EA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6324EA">
        <w:rPr>
          <w:rFonts w:ascii="Times New Roman" w:hAnsi="Times New Roman" w:cs="Times New Roman"/>
          <w:b/>
          <w:bCs/>
          <w:u w:val="single"/>
        </w:rPr>
        <w:t>System Context</w:t>
      </w:r>
    </w:p>
    <w:p w14:paraId="78346003" w14:textId="77777777" w:rsidR="000A24A7" w:rsidRPr="006324EA" w:rsidRDefault="00000000" w:rsidP="006324EA">
      <w:p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Applicants upload PDF packets to the Google Cloud Storage bucket configured in ml-pipeline-backend/config.py; FastAPI endpoints in ml-pipeline-backend/main.py orchestrate OCR, KPI extraction, validation, and risk modeling before writing structured artifacts back to storage.</w:t>
      </w:r>
    </w:p>
    <w:p w14:paraId="0C54553E" w14:textId="77777777" w:rsidR="000A24A7" w:rsidRPr="006324EA" w:rsidRDefault="00000000" w:rsidP="006324EA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6324EA">
        <w:rPr>
          <w:rFonts w:ascii="Times New Roman" w:hAnsi="Times New Roman" w:cs="Times New Roman"/>
          <w:b/>
          <w:bCs/>
          <w:u w:val="single"/>
        </w:rPr>
        <w:t>Pipeline Components</w:t>
      </w:r>
    </w:p>
    <w:p w14:paraId="1A56F2A2" w14:textId="77777777" w:rsidR="000A24A7" w:rsidRPr="006324EA" w:rsidRDefault="00000000" w:rsidP="006324EA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Document Intake &amp; Storage – OCR expects PDFs under PDF_INPUT_PREFIX in the bucket while artifacts land under prefixes such as VISION_OUTPUT_PREFIX, OCR_RESULTS_PREFIX, and KPI_RESULTS_PREFIX for easy traceability.</w:t>
      </w:r>
    </w:p>
    <w:p w14:paraId="14A6F2CB" w14:textId="77777777" w:rsidR="000A24A7" w:rsidRPr="006324EA" w:rsidRDefault="00000000" w:rsidP="006324EA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OCR Pipeline – ocr_pipeline.py downloads PDFs, calls Google Vision OCR with the configured service account, consolidates JSON responses, and caches them to avoid reprocessing unless force_rerun_ocr is specified.</w:t>
      </w:r>
    </w:p>
    <w:p w14:paraId="63BD033A" w14:textId="77777777" w:rsidR="000A24A7" w:rsidRPr="006324EA" w:rsidRDefault="00000000" w:rsidP="006324EA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KPI Extraction – kpi_extraction.py tokenizes OCR text, filters based on the Pre Disbursement Checklist.xlsx dictionary, and emits normalized tables that downstream rules and models can consume.</w:t>
      </w:r>
    </w:p>
    <w:p w14:paraId="6531ABB9" w14:textId="77777777" w:rsidR="000A24A7" w:rsidRPr="006324EA" w:rsidRDefault="00000000" w:rsidP="006324EA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lastRenderedPageBreak/>
        <w:t>Applicant Validation – applicant_validation.py runs rule-based checks (presence, numeric ranges, string normalization) to produce validation CSVs saved under VALIDATION_RESULTS_PREFIX, ensuring that every inference uses vetted inputs.</w:t>
      </w:r>
    </w:p>
    <w:p w14:paraId="3D95C860" w14:textId="77777777" w:rsidR="000A24A7" w:rsidRPr="006324EA" w:rsidRDefault="00000000" w:rsidP="006324EA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Feature Engineering &amp; Preprocessing – risk_model.py loads preprocess_with_target_</w:t>
      </w:r>
      <w:proofErr w:type="gramStart"/>
      <w:r w:rsidRPr="006324EA">
        <w:rPr>
          <w:rFonts w:ascii="Times New Roman" w:hAnsi="Times New Roman" w:cs="Times New Roman"/>
        </w:rPr>
        <w:t>passthrough.joblib</w:t>
      </w:r>
      <w:proofErr w:type="gramEnd"/>
      <w:r w:rsidRPr="006324EA">
        <w:rPr>
          <w:rFonts w:ascii="Times New Roman" w:hAnsi="Times New Roman" w:cs="Times New Roman"/>
        </w:rPr>
        <w:t xml:space="preserve"> to apply the same numeric scaling, categorical encoding, and passthrough logic that was used during training, guaranteeing consistent features at inference.</w:t>
      </w:r>
    </w:p>
    <w:p w14:paraId="3634E17E" w14:textId="77777777" w:rsidR="000A24A7" w:rsidRDefault="00000000" w:rsidP="006324EA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Risk Modeling Service – the FastAPI route /applicants/{id} chains OCR, KPI extraction, validation, and predict_risk_for_applicant so that a single call completes the pipeline and returns all artifact URIs plus the model’s default probability.</w:t>
      </w:r>
    </w:p>
    <w:p w14:paraId="5403853C" w14:textId="76CD4865" w:rsidR="006324EA" w:rsidRPr="006324EA" w:rsidRDefault="006324EA" w:rsidP="006324EA">
      <w:pPr>
        <w:spacing w:line="480" w:lineRule="auto"/>
        <w:rPr>
          <w:rFonts w:ascii="Times New Roman" w:hAnsi="Times New Roman" w:cs="Times New Roman"/>
          <w:i/>
          <w:iCs/>
        </w:rPr>
      </w:pPr>
      <w:r w:rsidRPr="006324EA">
        <w:rPr>
          <w:rFonts w:ascii="Times New Roman" w:hAnsi="Times New Roman" w:cs="Times New Roman"/>
          <w:i/>
          <w:iCs/>
        </w:rPr>
        <w:t>See Appendix 1 for a visual chart of the components above.</w:t>
      </w:r>
    </w:p>
    <w:p w14:paraId="25BB77B7" w14:textId="77777777" w:rsidR="000A24A7" w:rsidRPr="006324EA" w:rsidRDefault="00000000" w:rsidP="006324EA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6324EA">
        <w:rPr>
          <w:rFonts w:ascii="Times New Roman" w:hAnsi="Times New Roman" w:cs="Times New Roman"/>
          <w:b/>
          <w:bCs/>
          <w:u w:val="single"/>
        </w:rPr>
        <w:t>Data &amp; Experimentation Assets</w:t>
      </w:r>
    </w:p>
    <w:p w14:paraId="23EC7243" w14:textId="77777777" w:rsidR="000A24A7" w:rsidRPr="006324EA" w:rsidRDefault="00000000" w:rsidP="006324EA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Raw datasets used for experimentation reside in data/ while notebooks/ captures the exploratory data analysis, feature selection experiments, and hyper-parameter sweeps that informed the production models.</w:t>
      </w:r>
    </w:p>
    <w:p w14:paraId="40E83275" w14:textId="77777777" w:rsidR="000A24A7" w:rsidRPr="006324EA" w:rsidRDefault="00000000" w:rsidP="006324EA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Trained artifacts live under models/; MODEL_PATH in config.py selects the joblib file (best_random_</w:t>
      </w:r>
      <w:proofErr w:type="gramStart"/>
      <w:r w:rsidRPr="006324EA">
        <w:rPr>
          <w:rFonts w:ascii="Times New Roman" w:hAnsi="Times New Roman" w:cs="Times New Roman"/>
        </w:rPr>
        <w:t>forest.joblib</w:t>
      </w:r>
      <w:proofErr w:type="gramEnd"/>
      <w:r w:rsidRPr="006324EA">
        <w:rPr>
          <w:rFonts w:ascii="Times New Roman" w:hAnsi="Times New Roman" w:cs="Times New Roman"/>
        </w:rPr>
        <w:t xml:space="preserve"> by default) that the service loads at runtime.</w:t>
      </w:r>
    </w:p>
    <w:p w14:paraId="26E47C3C" w14:textId="77777777" w:rsidR="000A24A7" w:rsidRPr="006324EA" w:rsidRDefault="00000000" w:rsidP="006324EA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6324EA">
        <w:rPr>
          <w:rFonts w:ascii="Times New Roman" w:hAnsi="Times New Roman" w:cs="Times New Roman"/>
          <w:b/>
          <w:bCs/>
          <w:u w:val="single"/>
        </w:rPr>
        <w:t>Model Development Lifecycle</w:t>
      </w:r>
    </w:p>
    <w:p w14:paraId="267ED973" w14:textId="77777777" w:rsidR="000A24A7" w:rsidRPr="006324EA" w:rsidRDefault="00000000" w:rsidP="006324EA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Data Preparation – training scripts assemble applicant-wide records from validated KPI exports, engineer domain features (DTI ratio, document completeness, categorical bins), and split the dataset into train/validation/test folds with stratification.</w:t>
      </w:r>
    </w:p>
    <w:p w14:paraId="6B68C779" w14:textId="77777777" w:rsidR="000A24A7" w:rsidRPr="006324EA" w:rsidRDefault="00000000" w:rsidP="006324EA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lastRenderedPageBreak/>
        <w:t xml:space="preserve">Feature Engineering – numeric values are imputed and scaled, categorical values are target-encoded plus one-hot encoded, and binary compliance indicators are derived from validation </w:t>
      </w:r>
      <w:proofErr w:type="gramStart"/>
      <w:r w:rsidRPr="006324EA">
        <w:rPr>
          <w:rFonts w:ascii="Times New Roman" w:hAnsi="Times New Roman" w:cs="Times New Roman"/>
        </w:rPr>
        <w:t>flags</w:t>
      </w:r>
      <w:proofErr w:type="gramEnd"/>
      <w:r w:rsidRPr="006324EA">
        <w:rPr>
          <w:rFonts w:ascii="Times New Roman" w:hAnsi="Times New Roman" w:cs="Times New Roman"/>
        </w:rPr>
        <w:t xml:space="preserve"> so each model ingests a balanced mix of signals.</w:t>
      </w:r>
    </w:p>
    <w:p w14:paraId="2DB95DBA" w14:textId="77777777" w:rsidR="000A24A7" w:rsidRPr="006324EA" w:rsidRDefault="00000000" w:rsidP="006324EA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Training &amp; Evaluation – notebooks document k-fold cross validation and grid searches over learning rates, depth, regularization strength, and tree counts; evaluation prioritizes ROC-AUC, recall at business-defined thresholds, and calibration error.</w:t>
      </w:r>
    </w:p>
    <w:p w14:paraId="3B4D6A48" w14:textId="77777777" w:rsidR="000A24A7" w:rsidRDefault="00000000" w:rsidP="006324EA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Model Persistence – every trained estimator plus its preprocessing pipeline is serialized with joblib and stored under models/ so inference can load both objects without retraining.</w:t>
      </w:r>
    </w:p>
    <w:p w14:paraId="0385F6B5" w14:textId="16937574" w:rsidR="006324EA" w:rsidRPr="006324EA" w:rsidRDefault="006324EA" w:rsidP="006324EA">
      <w:pPr>
        <w:spacing w:line="480" w:lineRule="auto"/>
        <w:rPr>
          <w:rFonts w:ascii="Times New Roman" w:hAnsi="Times New Roman" w:cs="Times New Roman"/>
          <w:i/>
          <w:iCs/>
        </w:rPr>
      </w:pPr>
      <w:r w:rsidRPr="006324EA">
        <w:rPr>
          <w:rFonts w:ascii="Times New Roman" w:hAnsi="Times New Roman" w:cs="Times New Roman"/>
          <w:i/>
          <w:iCs/>
        </w:rPr>
        <w:t>See Appendix 2 for a visual chart of Loan Default Probability models and Appendix 3 for model results</w:t>
      </w:r>
    </w:p>
    <w:p w14:paraId="43BD4586" w14:textId="77777777" w:rsidR="000A24A7" w:rsidRPr="006324EA" w:rsidRDefault="00000000" w:rsidP="006324EA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6324EA">
        <w:rPr>
          <w:rFonts w:ascii="Times New Roman" w:hAnsi="Times New Roman" w:cs="Times New Roman"/>
          <w:b/>
          <w:bCs/>
          <w:u w:val="single"/>
        </w:rPr>
        <w:t>Component Deep Dive</w:t>
      </w:r>
    </w:p>
    <w:p w14:paraId="4F20EE5C" w14:textId="77777777" w:rsidR="000A24A7" w:rsidRPr="006324EA" w:rsidRDefault="00000000" w:rsidP="006324EA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 xml:space="preserve">Document Intake &amp; OCR Orchestration – PDFs and reference spreadsheets are fetched through </w:t>
      </w:r>
      <w:proofErr w:type="gramStart"/>
      <w:r w:rsidRPr="006324EA">
        <w:rPr>
          <w:rFonts w:ascii="Times New Roman" w:hAnsi="Times New Roman" w:cs="Times New Roman"/>
        </w:rPr>
        <w:t>google.cloud</w:t>
      </w:r>
      <w:proofErr w:type="gramEnd"/>
      <w:r w:rsidRPr="006324EA">
        <w:rPr>
          <w:rFonts w:ascii="Times New Roman" w:hAnsi="Times New Roman" w:cs="Times New Roman"/>
        </w:rPr>
        <w:t>.storage using the credentials exported by config.py; retries and checksum validation shield the system from transient storage issues.</w:t>
      </w:r>
    </w:p>
    <w:p w14:paraId="3D65209B" w14:textId="77777777" w:rsidR="000A24A7" w:rsidRPr="006324EA" w:rsidRDefault="00000000" w:rsidP="006324EA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KPI Extraction Rules – each KPI definition from the spreadsheet includes document type, textual patterns, and normalization instructions; the parser tags values with applicant_id and field_name to provide traceable, structured evidence.</w:t>
      </w:r>
    </w:p>
    <w:p w14:paraId="6BA0A456" w14:textId="77777777" w:rsidR="000A24A7" w:rsidRPr="006324EA" w:rsidRDefault="00000000" w:rsidP="006324EA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Validation Engine – rules capture mandatory fields, range enforcement (e.g., Applicant Age between 18 and 75), cross-field logic (income vs. employment years), and tamper detection (numeric characters in signature blocks).</w:t>
      </w:r>
    </w:p>
    <w:p w14:paraId="0CCD62C5" w14:textId="77777777" w:rsidR="000A24A7" w:rsidRPr="006324EA" w:rsidRDefault="00000000" w:rsidP="006324EA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lastRenderedPageBreak/>
        <w:t xml:space="preserve">Risk Model Interface – predict_risk_for_applicant pivots the validation dataframe into a single-row feature matrix, aligns columns with </w:t>
      </w:r>
      <w:proofErr w:type="gramStart"/>
      <w:r w:rsidRPr="006324EA">
        <w:rPr>
          <w:rFonts w:ascii="Times New Roman" w:hAnsi="Times New Roman" w:cs="Times New Roman"/>
        </w:rPr>
        <w:t>preprocess.feature</w:t>
      </w:r>
      <w:proofErr w:type="gramEnd"/>
      <w:r w:rsidRPr="006324EA">
        <w:rPr>
          <w:rFonts w:ascii="Times New Roman" w:hAnsi="Times New Roman" w:cs="Times New Roman"/>
        </w:rPr>
        <w:t>_names_in_, applies the transformation pipeline, and feeds the vector into the loaded estimator.</w:t>
      </w:r>
    </w:p>
    <w:p w14:paraId="3E52C5DB" w14:textId="77777777" w:rsidR="000A24A7" w:rsidRPr="006324EA" w:rsidRDefault="00000000" w:rsidP="006324EA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6324EA">
        <w:rPr>
          <w:rFonts w:ascii="Times New Roman" w:hAnsi="Times New Roman" w:cs="Times New Roman"/>
          <w:b/>
          <w:bCs/>
          <w:u w:val="single"/>
        </w:rPr>
        <w:t>Model Summaries</w:t>
      </w:r>
    </w:p>
    <w:p w14:paraId="087D356F" w14:textId="77777777" w:rsidR="000A24A7" w:rsidRPr="006324EA" w:rsidRDefault="00000000" w:rsidP="006324EA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XGBoost Classifier – uses gradient boosted decision trees with learning rate decay, max depth tuned between 4 and 8, subsampling for regularization, and handles heterogeneous feature scales plus missing values without extra imputation.</w:t>
      </w:r>
    </w:p>
    <w:p w14:paraId="467792C1" w14:textId="77777777" w:rsidR="000A24A7" w:rsidRPr="006324EA" w:rsidRDefault="00000000" w:rsidP="006324EA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Linear Regression Classifier – implemented as a regularized linear model over the transformed feature space, serving as a transparent baseline whose coefficients double as sensitivity measures for each KPI-derived attribute.</w:t>
      </w:r>
    </w:p>
    <w:p w14:paraId="7445CF20" w14:textId="77777777" w:rsidR="000A24A7" w:rsidRPr="006324EA" w:rsidRDefault="00000000" w:rsidP="006324EA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Random Forest Classifier – ensemble of 500 trees with balanced class weights, depth constraints to prevent overfitting, and bootstrap sampling; selected as the production default because it offers strong recall with moderate inference cost.</w:t>
      </w:r>
    </w:p>
    <w:p w14:paraId="3527F6BC" w14:textId="77777777" w:rsidR="000A24A7" w:rsidRPr="006324EA" w:rsidRDefault="00000000" w:rsidP="006324EA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Model Comparison &amp; Selection – random forest delivered the best balance of ROC-AUC and stability across folds, XGBoost provided the highest precision on high-risk applicants but required more tuning time, and the linear model served as a calibration reference to detect data drift.</w:t>
      </w:r>
    </w:p>
    <w:p w14:paraId="59316ABA" w14:textId="77777777" w:rsidR="000A24A7" w:rsidRPr="006324EA" w:rsidRDefault="00000000" w:rsidP="006324EA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6324EA">
        <w:rPr>
          <w:rFonts w:ascii="Times New Roman" w:hAnsi="Times New Roman" w:cs="Times New Roman"/>
          <w:b/>
          <w:bCs/>
          <w:u w:val="single"/>
        </w:rPr>
        <w:t>Operational Considerations</w:t>
      </w:r>
    </w:p>
    <w:p w14:paraId="57D85901" w14:textId="77777777" w:rsidR="000A24A7" w:rsidRPr="006324EA" w:rsidRDefault="00000000" w:rsidP="006324EA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Artifact Management – every stage stores intermediate files (OCR JSON, KPI CSVs, validation outputs, risk scores) in separate prefixes so auditors can reconstruct the applicant journey and rerun downstream steps without repeating OCR.</w:t>
      </w:r>
    </w:p>
    <w:p w14:paraId="21DB69BC" w14:textId="77777777" w:rsidR="000A24A7" w:rsidRPr="006324EA" w:rsidRDefault="00000000" w:rsidP="006324EA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lastRenderedPageBreak/>
        <w:t>Monitoring – logs capture runtime per stage, request identifiers, and validation error codes; exporting these metrics to Cloud Logging or Prometheus is recommended for production-grade observability.</w:t>
      </w:r>
    </w:p>
    <w:p w14:paraId="79741A20" w14:textId="77777777" w:rsidR="000A24A7" w:rsidRPr="006324EA" w:rsidRDefault="00000000" w:rsidP="006324EA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Retraining Workflow – new labeled applicants are appended to data/, feature engineering notebooks are rerun, and the resulting estimator replaces MODEL_PATH after passing regression tests and shadow evaluations.</w:t>
      </w:r>
    </w:p>
    <w:p w14:paraId="761B2CBE" w14:textId="77777777" w:rsidR="000A24A7" w:rsidRDefault="00000000" w:rsidP="006324EA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6324EA">
        <w:rPr>
          <w:rFonts w:ascii="Times New Roman" w:hAnsi="Times New Roman" w:cs="Times New Roman"/>
        </w:rPr>
        <w:t>Future Enhancements – integrate Vertex AI pipelines for scheduled retraining, add drift detection on KPI distributions, and expose SHAP-based explanations directly through the FastAPI response for transparency.</w:t>
      </w:r>
    </w:p>
    <w:p w14:paraId="2F2B8710" w14:textId="77777777" w:rsidR="006324EA" w:rsidRDefault="006324EA" w:rsidP="006324EA">
      <w:pPr>
        <w:spacing w:line="480" w:lineRule="auto"/>
        <w:rPr>
          <w:rFonts w:ascii="Times New Roman" w:hAnsi="Times New Roman" w:cs="Times New Roman"/>
        </w:rPr>
      </w:pPr>
    </w:p>
    <w:p w14:paraId="418D01A8" w14:textId="0B6D0739" w:rsidR="006324EA" w:rsidRPr="006324EA" w:rsidRDefault="006324EA" w:rsidP="006324EA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6324EA">
        <w:rPr>
          <w:rFonts w:ascii="Times New Roman" w:hAnsi="Times New Roman" w:cs="Times New Roman"/>
          <w:b/>
          <w:bCs/>
          <w:u w:val="single"/>
        </w:rPr>
        <w:t>Ap</w:t>
      </w:r>
      <w:r w:rsidR="00CF621D">
        <w:rPr>
          <w:rFonts w:ascii="Times New Roman" w:hAnsi="Times New Roman" w:cs="Times New Roman"/>
          <w:b/>
          <w:bCs/>
          <w:u w:val="single"/>
        </w:rPr>
        <w:t>p</w:t>
      </w:r>
      <w:r w:rsidRPr="006324EA">
        <w:rPr>
          <w:rFonts w:ascii="Times New Roman" w:hAnsi="Times New Roman" w:cs="Times New Roman"/>
          <w:b/>
          <w:bCs/>
          <w:u w:val="single"/>
        </w:rPr>
        <w:t>endix</w:t>
      </w:r>
    </w:p>
    <w:p w14:paraId="5EF5C06F" w14:textId="6EAC1C8D" w:rsidR="006324EA" w:rsidRDefault="006324EA" w:rsidP="006324EA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ML Pipeline flow chart:</w:t>
      </w:r>
    </w:p>
    <w:p w14:paraId="7CCA5A86" w14:textId="36129654" w:rsidR="00CF621D" w:rsidRDefault="00CF621D" w:rsidP="00CF621D">
      <w:pPr>
        <w:spacing w:line="480" w:lineRule="auto"/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21DE90A" wp14:editId="70BAD817">
            <wp:extent cx="5943600" cy="1677035"/>
            <wp:effectExtent l="0" t="0" r="0" b="0"/>
            <wp:docPr id="181628807" name="Picture 1" descr="A diagram of a process flow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8807" name="Picture 1" descr="A diagram of a process flow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7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93012" w14:textId="77777777" w:rsidR="0007597B" w:rsidRDefault="0007597B" w:rsidP="0007597B">
      <w:pPr>
        <w:pStyle w:val="ListParagraph"/>
        <w:spacing w:line="480" w:lineRule="auto"/>
        <w:rPr>
          <w:rFonts w:ascii="Times New Roman" w:hAnsi="Times New Roman" w:cs="Times New Roman"/>
        </w:rPr>
      </w:pPr>
    </w:p>
    <w:p w14:paraId="27820E57" w14:textId="77777777" w:rsidR="0007597B" w:rsidRDefault="0007597B" w:rsidP="0007597B">
      <w:pPr>
        <w:pStyle w:val="ListParagraph"/>
        <w:spacing w:line="480" w:lineRule="auto"/>
        <w:rPr>
          <w:rFonts w:ascii="Times New Roman" w:hAnsi="Times New Roman" w:cs="Times New Roman"/>
        </w:rPr>
      </w:pPr>
    </w:p>
    <w:p w14:paraId="443D7805" w14:textId="77777777" w:rsidR="0007597B" w:rsidRDefault="0007597B" w:rsidP="0007597B">
      <w:pPr>
        <w:pStyle w:val="ListParagraph"/>
        <w:spacing w:line="480" w:lineRule="auto"/>
        <w:rPr>
          <w:rFonts w:ascii="Times New Roman" w:hAnsi="Times New Roman" w:cs="Times New Roman"/>
        </w:rPr>
      </w:pPr>
    </w:p>
    <w:p w14:paraId="72C17F07" w14:textId="77777777" w:rsidR="0007597B" w:rsidRDefault="0007597B" w:rsidP="0007597B">
      <w:pPr>
        <w:pStyle w:val="ListParagraph"/>
        <w:spacing w:line="480" w:lineRule="auto"/>
        <w:rPr>
          <w:rFonts w:ascii="Times New Roman" w:hAnsi="Times New Roman" w:cs="Times New Roman"/>
        </w:rPr>
      </w:pPr>
    </w:p>
    <w:p w14:paraId="37A227D4" w14:textId="77777777" w:rsidR="0007597B" w:rsidRDefault="0007597B" w:rsidP="0007597B">
      <w:pPr>
        <w:pStyle w:val="ListParagraph"/>
        <w:spacing w:line="480" w:lineRule="auto"/>
        <w:rPr>
          <w:rFonts w:ascii="Times New Roman" w:hAnsi="Times New Roman" w:cs="Times New Roman"/>
        </w:rPr>
      </w:pPr>
    </w:p>
    <w:p w14:paraId="559B7A99" w14:textId="04331B12" w:rsidR="00CF621D" w:rsidRDefault="00DD335F" w:rsidP="00CF621D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Loan Default Models Development</w:t>
      </w:r>
    </w:p>
    <w:p w14:paraId="0CB0B902" w14:textId="53071EDB" w:rsidR="0007597B" w:rsidRDefault="0007597B" w:rsidP="0007597B">
      <w:pPr>
        <w:pStyle w:val="ListParagraph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533793CB" wp14:editId="62DEC2E2">
            <wp:extent cx="5943600" cy="2952115"/>
            <wp:effectExtent l="0" t="0" r="0" b="0"/>
            <wp:docPr id="22034958" name="Picture 8" descr="A diagram of a mode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34958" name="Picture 8" descr="A diagram of a model&#10;&#10;AI-generated content may b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65A695" w14:textId="368DB21F" w:rsidR="00DD335F" w:rsidRDefault="00DD335F" w:rsidP="00CF621D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 Results</w:t>
      </w:r>
    </w:p>
    <w:p w14:paraId="35F730D1" w14:textId="2A777AE6" w:rsidR="00DD335F" w:rsidRPr="00DD335F" w:rsidRDefault="00DD335F" w:rsidP="00DD335F">
      <w:pPr>
        <w:spacing w:line="480" w:lineRule="auto"/>
        <w:ind w:left="360"/>
        <w:rPr>
          <w:rFonts w:ascii="Times New Roman" w:hAnsi="Times New Roman" w:cs="Times New Roman"/>
          <w:b/>
          <w:bCs/>
        </w:rPr>
      </w:pPr>
      <w:r w:rsidRPr="00DD335F">
        <w:rPr>
          <w:rFonts w:ascii="Times New Roman" w:hAnsi="Times New Roman" w:cs="Times New Roman"/>
          <w:b/>
          <w:bCs/>
        </w:rPr>
        <w:t>Logistic Regression Classifier:</w:t>
      </w:r>
    </w:p>
    <w:p w14:paraId="4A2CCDE4" w14:textId="31F94A1B" w:rsidR="00DD335F" w:rsidRDefault="00DD335F" w:rsidP="00DD335F">
      <w:pPr>
        <w:pStyle w:val="ListParagraph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39CABED" wp14:editId="66F77C03">
            <wp:extent cx="2143534" cy="2235367"/>
            <wp:effectExtent l="0" t="0" r="0" b="0"/>
            <wp:docPr id="338877109" name="Picture 3" descr="A graph of a positive rat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877109" name="Picture 3" descr="A graph of a positive rate&#10;&#10;AI-generated content may b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5728" cy="2310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 wp14:anchorId="4DF8D9C8" wp14:editId="3F8185D1">
            <wp:extent cx="2598821" cy="2261474"/>
            <wp:effectExtent l="0" t="0" r="0" b="0"/>
            <wp:docPr id="321742824" name="Picture 2" descr="A yellow and purple rectangular boxes with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742824" name="Picture 2" descr="A yellow and purple rectangular boxes with numbers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0205" cy="2297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CE6E5" w14:textId="27B6784A" w:rsidR="00DD335F" w:rsidRPr="00DD335F" w:rsidRDefault="00DD335F" w:rsidP="00DD335F">
      <w:pPr>
        <w:pStyle w:val="ListParagraph"/>
        <w:spacing w:line="480" w:lineRule="auto"/>
        <w:rPr>
          <w:rFonts w:ascii="Times New Roman" w:hAnsi="Times New Roman" w:cs="Times New Roman"/>
          <w:b/>
          <w:bCs/>
        </w:rPr>
      </w:pPr>
      <w:r w:rsidRPr="00DD335F">
        <w:rPr>
          <w:rFonts w:ascii="Times New Roman" w:hAnsi="Times New Roman" w:cs="Times New Roman"/>
          <w:b/>
          <w:bCs/>
        </w:rPr>
        <w:t>Random Forest Classifier</w:t>
      </w:r>
    </w:p>
    <w:p w14:paraId="6AB37145" w14:textId="47071578" w:rsidR="00DD335F" w:rsidRDefault="00DD335F" w:rsidP="00DD335F">
      <w:pPr>
        <w:pStyle w:val="ListParagraph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5CF826B" wp14:editId="6A1194AC">
            <wp:extent cx="2302042" cy="2219580"/>
            <wp:effectExtent l="0" t="0" r="0" b="0"/>
            <wp:docPr id="126757876" name="Picture 5" descr="A graph of a positive rat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57876" name="Picture 5" descr="A graph of a positive rate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738" cy="2296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 wp14:anchorId="227E04CD" wp14:editId="581CF5E1">
            <wp:extent cx="2556596" cy="2221999"/>
            <wp:effectExtent l="0" t="0" r="0" b="0"/>
            <wp:docPr id="1978100446" name="Picture 4" descr="A chart with different colored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100446" name="Picture 4" descr="A chart with different colored squares&#10;&#10;AI-generated content may b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781" cy="2260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34364" w14:textId="7A712C3A" w:rsidR="00DD335F" w:rsidRDefault="00DD335F" w:rsidP="00DD335F">
      <w:pPr>
        <w:pStyle w:val="ListParagraph"/>
        <w:spacing w:line="480" w:lineRule="auto"/>
        <w:rPr>
          <w:rFonts w:ascii="Times New Roman" w:hAnsi="Times New Roman" w:cs="Times New Roman"/>
          <w:b/>
          <w:bCs/>
        </w:rPr>
      </w:pPr>
      <w:r w:rsidRPr="00DD335F">
        <w:rPr>
          <w:rFonts w:ascii="Times New Roman" w:hAnsi="Times New Roman" w:cs="Times New Roman"/>
          <w:b/>
          <w:bCs/>
        </w:rPr>
        <w:t>XGBoost Classifier</w:t>
      </w:r>
    </w:p>
    <w:p w14:paraId="14815CDB" w14:textId="662728AB" w:rsidR="00DD335F" w:rsidRPr="00DD335F" w:rsidRDefault="00DD335F" w:rsidP="00DD335F">
      <w:pPr>
        <w:pStyle w:val="ListParagraph"/>
        <w:spacing w:line="48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0955249D" wp14:editId="0CDB6777">
            <wp:extent cx="2308747" cy="2399765"/>
            <wp:effectExtent l="0" t="0" r="0" b="0"/>
            <wp:docPr id="947773143" name="Picture 6" descr="A graph of a positive rat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773143" name="Picture 6" descr="A graph of a positive rate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3137" cy="2466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0750252E" wp14:editId="354AACFE">
            <wp:extent cx="2808878" cy="2450866"/>
            <wp:effectExtent l="0" t="0" r="0" b="0"/>
            <wp:docPr id="1120452115" name="Picture 7" descr="A chart with different colored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452115" name="Picture 7" descr="A chart with different colored squares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5526" cy="2491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D335F" w:rsidRPr="00DD33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E3E3F"/>
    <w:multiLevelType w:val="hybridMultilevel"/>
    <w:tmpl w:val="9ADC7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C0BC3"/>
    <w:multiLevelType w:val="hybridMultilevel"/>
    <w:tmpl w:val="E1203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220C1"/>
    <w:multiLevelType w:val="hybridMultilevel"/>
    <w:tmpl w:val="747C2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C61FD0"/>
    <w:multiLevelType w:val="hybridMultilevel"/>
    <w:tmpl w:val="639CD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83DF2"/>
    <w:multiLevelType w:val="hybridMultilevel"/>
    <w:tmpl w:val="619E5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D71C72"/>
    <w:multiLevelType w:val="hybridMultilevel"/>
    <w:tmpl w:val="ECA06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E85F3B"/>
    <w:multiLevelType w:val="hybridMultilevel"/>
    <w:tmpl w:val="45B8F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1A7D70"/>
    <w:multiLevelType w:val="hybridMultilevel"/>
    <w:tmpl w:val="F3D84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932116">
    <w:abstractNumId w:val="3"/>
  </w:num>
  <w:num w:numId="2" w16cid:durableId="904418404">
    <w:abstractNumId w:val="4"/>
  </w:num>
  <w:num w:numId="3" w16cid:durableId="1272053955">
    <w:abstractNumId w:val="5"/>
  </w:num>
  <w:num w:numId="4" w16cid:durableId="846945862">
    <w:abstractNumId w:val="7"/>
  </w:num>
  <w:num w:numId="5" w16cid:durableId="1549533403">
    <w:abstractNumId w:val="1"/>
  </w:num>
  <w:num w:numId="6" w16cid:durableId="496501742">
    <w:abstractNumId w:val="6"/>
  </w:num>
  <w:num w:numId="7" w16cid:durableId="1030377051">
    <w:abstractNumId w:val="0"/>
  </w:num>
  <w:num w:numId="8" w16cid:durableId="14220285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24A7"/>
    <w:rsid w:val="0007597B"/>
    <w:rsid w:val="000A24A7"/>
    <w:rsid w:val="006324EA"/>
    <w:rsid w:val="00AC482D"/>
    <w:rsid w:val="00CF621D"/>
    <w:rsid w:val="00DD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4FEBE"/>
  <w15:docId w15:val="{2CCDFABD-CE72-554F-B78C-5DE28314A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4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Luis Jimenez Guerra</cp:lastModifiedBy>
  <cp:revision>2</cp:revision>
  <dcterms:created xsi:type="dcterms:W3CDTF">2025-12-15T00:00:00Z</dcterms:created>
  <dcterms:modified xsi:type="dcterms:W3CDTF">2025-12-15T00:37:00Z</dcterms:modified>
</cp:coreProperties>
</file>